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https://projektai.intranet.litgrid.eu/PWA/Riešės%20TP%20ir%20ŽTŠK/_layouts/15/DocIdRedir.aspx?ID=PVIS-1388274792-160</Url>
      <Description>PVIS-1388274792-160</Description>
    </_dlc_DocIdUrl>
    <Nuoseklūs xmlns="58896280-883f-49e1-8f2c-86b01e3ff616">
      <UserInfo>
        <DisplayName/>
        <AccountId xsi:nil="true"/>
        <AccountType/>
      </UserInfo>
    </Nuoseklūs>
    <_dlc_DocId xmlns="58896280-883f-49e1-8f2c-86b01e3ff616">PVIS-1388274792-160</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42563A-8DBE-4D61-AC19-505D3AFB89D4}"/>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A68DFBA2-BB23-4ECE-85D6-D1B5931CA114}"/>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0x01010066872F3CC8F7D84995438B893169A0800200F471B502E185934AB1AD508E02574B87</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034716f4-fffb-48c1-befd-1053eb496c0a</vt:lpwstr>
  </property>
</Properties>
</file>